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Use mathematical vocabulary and language to contribute to mathematical discussions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Use reasoning to explore and make connections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Develop, demonstrate, and apply mathematical understanding through play, inquiry, and problem solving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Use technology to explore mathematics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Visualize to explore mathematical concepts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Estimate reasonably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Develop and use multiple strategies to engage in problem solving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 xml:space="preserve">Represent mathematical ideas in concrete, pictorial, and symbolic forms 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Explain and justify mathematical ideas and decisions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Develop mental math strategies and abilities to make sense of quantities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Incorporate First Peoples worldviews and perspectives to make connections to mathematical concepts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Model mathematics in contextualized experiences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Communicate mathematical thinking in many ways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Connect mathematical concepts to each other and to other areas and personal interests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  <w:r>
        <w:rPr>
          <w:rFonts w:ascii="PT Serif" w:hAnsi="PT Serif"/>
          <w:sz w:val="30"/>
          <w:szCs w:val="30"/>
          <w:rtl w:val="0"/>
          <w:lang w:val="en-US"/>
        </w:rPr>
        <w:t>Engage in problem-solving experiences that are connected to place, story, cultural practices, and perspectives relevant to local First Peoples communities, the local community, and other cultures</w:t>
      </w: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  <w:rPr>
          <w:rFonts w:ascii="PT Serif" w:cs="PT Serif" w:hAnsi="PT Serif" w:eastAsia="PT Serif"/>
          <w:sz w:val="30"/>
          <w:szCs w:val="30"/>
        </w:rPr>
      </w:pPr>
    </w:p>
    <w:p>
      <w:pPr>
        <w:pStyle w:val="Body"/>
      </w:pPr>
      <w:r>
        <w:rPr>
          <w:rFonts w:ascii="PT Serif" w:hAnsi="PT Serif"/>
          <w:sz w:val="30"/>
          <w:szCs w:val="30"/>
          <w:rtl w:val="0"/>
          <w:lang w:val="en-US"/>
        </w:rPr>
        <w:t>Reflect on mathematical thinking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PT Serif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